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克州歌舞团</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2022年04月12日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以“邓小平理论”、“三个代表”重要思想统领全局，认真学习宣传贯彻习近平新时代中国特色社会主义思想和党的十九大精神，坚持先进文化的前进方向，弘扬主旋律，提倡多样化，推动文化产业蓬勃发展，为满足人民群众的精神文明需要，创作出浓郁的地方特色的优秀作品，用“文化搭台，经济唱戏”这一新的理论，弘扬中华优秀传统文化，不断提高艺术作品引导力和影响力，为克孜勒苏文化建设和经济建设作出新的贡献。</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克州歌舞团无下属预算单位，下设6个处室，分别是：办公室、艺术指导室、舞蹈队、乐队声乐队、创作室、舞美队。</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克州歌舞团编制数67个，实有人数93人，其中：在职 62人，退休31人。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2022年克州歌舞团将继续在州委和州人民政府的坚强领导下，锐意进取，开拓创新，勇于担当，深入宣传学习党史、新中国史、改革开放史、社会主义发展史和习近平新时代中国特色社会主义思想，深入贯彻落实党的十九大和十九届二中、三中、四中、五中全会精神，贯彻落实第三次中央新疆工作座谈会精神，举旗帜、聚民心、育新人、兴文化、展形象，着眼培育和践行社会主义核心价值观，增强“五个认同”，不断深挖优秀传统文化，着力打造亲民惠民文化品牌，动员和组织我团文艺工作者扎根基层、服务群众。克州歌舞团2022年度工作计划报告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加强党支部建设。（时间：2022年全年）</w:t>
      </w:r>
      <w:r>
        <w:rPr>
          <w:rFonts w:hint="eastAsia" w:ascii="仿宋_GB2312" w:hAnsi="宋体" w:eastAsia="仿宋_GB2312"/>
          <w:b w:val="0"/>
          <w:bCs/>
          <w:sz w:val="32"/>
          <w:szCs w:val="32"/>
        </w:rPr>
        <w:cr/>
      </w:r>
      <w:r>
        <w:rPr>
          <w:rFonts w:hint="eastAsia" w:ascii="仿宋_GB2312" w:hAnsi="宋体" w:eastAsia="仿宋_GB2312"/>
          <w:b w:val="0"/>
          <w:bCs/>
          <w:sz w:val="32"/>
          <w:szCs w:val="32"/>
        </w:rPr>
        <w:t>　　2022年克州春节联欢晚会。（活动时间：2022年1月）</w:t>
      </w:r>
      <w:r>
        <w:rPr>
          <w:rFonts w:hint="eastAsia" w:ascii="仿宋_GB2312" w:hAnsi="宋体" w:eastAsia="仿宋_GB2312"/>
          <w:b w:val="0"/>
          <w:bCs/>
          <w:sz w:val="32"/>
          <w:szCs w:val="32"/>
        </w:rPr>
        <w:cr/>
      </w:r>
      <w:r>
        <w:rPr>
          <w:rFonts w:hint="eastAsia" w:ascii="仿宋_GB2312" w:hAnsi="宋体" w:eastAsia="仿宋_GB2312"/>
          <w:b w:val="0"/>
          <w:bCs/>
          <w:sz w:val="32"/>
          <w:szCs w:val="32"/>
        </w:rPr>
        <w:t>　　“我们的中国梦--文化进万家”。（活动时间：2022年3月--12月）</w:t>
      </w:r>
      <w:r>
        <w:rPr>
          <w:rFonts w:hint="eastAsia" w:ascii="仿宋_GB2312" w:hAnsi="宋体" w:eastAsia="仿宋_GB2312"/>
          <w:b w:val="0"/>
          <w:bCs/>
          <w:sz w:val="32"/>
          <w:szCs w:val="32"/>
        </w:rPr>
        <w:cr/>
      </w:r>
      <w:r>
        <w:rPr>
          <w:rFonts w:hint="eastAsia" w:ascii="仿宋_GB2312" w:hAnsi="宋体" w:eastAsia="仿宋_GB2312"/>
          <w:b w:val="0"/>
          <w:bCs/>
          <w:sz w:val="32"/>
          <w:szCs w:val="32"/>
        </w:rPr>
        <w:t>　　打造歌舞剧《约隆》婚礼。（活动时间2022年7月--2023年）</w:t>
      </w:r>
      <w:r>
        <w:rPr>
          <w:rFonts w:hint="eastAsia" w:ascii="仿宋_GB2312" w:hAnsi="宋体" w:eastAsia="仿宋_GB2312"/>
          <w:b w:val="0"/>
          <w:bCs/>
          <w:sz w:val="32"/>
          <w:szCs w:val="32"/>
        </w:rPr>
        <w:cr/>
      </w:r>
      <w:r>
        <w:rPr>
          <w:rFonts w:hint="eastAsia" w:ascii="仿宋_GB2312" w:hAnsi="宋体" w:eastAsia="仿宋_GB2312"/>
          <w:b w:val="0"/>
          <w:bCs/>
          <w:sz w:val="32"/>
          <w:szCs w:val="32"/>
        </w:rPr>
        <w:t>　　“红色文艺轻骑兵”小分队。（活动时间2022年3月--12月）</w:t>
      </w:r>
      <w:r>
        <w:rPr>
          <w:rFonts w:hint="eastAsia" w:ascii="仿宋_GB2312" w:hAnsi="宋体" w:eastAsia="仿宋_GB2312"/>
          <w:b w:val="0"/>
          <w:bCs/>
          <w:sz w:val="32"/>
          <w:szCs w:val="32"/>
        </w:rPr>
        <w:cr/>
      </w:r>
      <w:r>
        <w:rPr>
          <w:rFonts w:hint="eastAsia" w:ascii="仿宋_GB2312" w:hAnsi="宋体" w:eastAsia="仿宋_GB2312"/>
          <w:b w:val="0"/>
          <w:bCs/>
          <w:sz w:val="32"/>
          <w:szCs w:val="32"/>
        </w:rPr>
        <w:t>　　第六届全国少数民族文艺汇演。（活动时间：2022年10月）</w:t>
      </w:r>
      <w:r>
        <w:rPr>
          <w:rFonts w:hint="eastAsia" w:ascii="仿宋_GB2312" w:hAnsi="宋体" w:eastAsia="仿宋_GB2312"/>
          <w:b w:val="0"/>
          <w:bCs/>
          <w:sz w:val="32"/>
          <w:szCs w:val="32"/>
        </w:rPr>
        <w:cr/>
      </w:r>
      <w:r>
        <w:rPr>
          <w:rFonts w:hint="eastAsia" w:ascii="仿宋_GB2312" w:hAnsi="宋体" w:eastAsia="仿宋_GB2312"/>
          <w:b w:val="0"/>
          <w:bCs/>
          <w:sz w:val="32"/>
          <w:szCs w:val="32"/>
        </w:rPr>
        <w:t>　　文艺工作者专项行动。（活动时间：2022年11月）</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歌舞团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（2）收支管理：领导层是本单位收支业务管理的决策部门，负责审批单位收支业务等事项。涉及“三重一大”事项，根据《克州歌舞团集体决策制度》和《克州歌舞团项目管理办法》办理。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歌舞团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歌舞团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831.68万元，项目支出安排资金134.09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本单位2021年度项目支出111.55 万元，涉及项目数量4个，其中：重点项目支出87.16万元，涉及重点项目数量1个，重点项目支出与部门项目总支出的比率为78.14%。</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2021年度本单位年初批复部门预算资金总额为717.06 万元，年中调增预算总额为248.71 万元，调整后全年预算资金总额为965.77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2021年度本单位部门整体支出资金总额为943.23 万元，预算执行率为97.67%，预算调整率为34.68%。</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年初政府采购预算数为249.10万元，实际政府采购数为9.69万元，政府采购执行率为3.89%。</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为加强我单位预算管理、规范财务行为我单位制定了《克州歌舞团内部控制规范》《克州歌舞团项目管理规范》等资金管理制度，已建立制度均健全且有效运行。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2021年度我单位基本支出预算总额为831.68万元，其中人员经费807.10万元，公用经费24.58万元。实际执行总额为831.68万元，预算执行率100%。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4万元，比上年减少0万元，减少0%，主要原因是：支付公务用车运行维护费。其中，因公出国（境）费支出0万元；公务用车购置及运行维护费支出4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与年初预算数相比情况：一般公共预算“三公”经费支出年初预算数4万元，预算执行数为4万元，执行率为100%，主要原因是：支付公务用车运行维护费。</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w:t>
      </w:r>
      <w:r>
        <w:rPr>
          <w:rFonts w:hint="eastAsia" w:ascii="方正仿宋_GBK" w:hAnsi="方正仿宋_GBK" w:eastAsia="方正仿宋_GBK" w:cs="方正仿宋_GBK"/>
          <w:color w:val="auto"/>
          <w:sz w:val="32"/>
          <w:szCs w:val="32"/>
          <w:lang w:val="en-US" w:eastAsia="zh-CN"/>
        </w:rPr>
        <w:t>125.6</w:t>
      </w:r>
      <w:r>
        <w:rPr>
          <w:rFonts w:hint="eastAsia" w:ascii="仿宋_GB2312" w:hAnsi="宋体" w:eastAsia="仿宋_GB2312"/>
          <w:b w:val="0"/>
          <w:bCs/>
          <w:sz w:val="32"/>
          <w:szCs w:val="32"/>
        </w:rPr>
        <w:t>万元，实际执行资金总额为111.55 万元，预算执行率为</w:t>
      </w:r>
      <w:r>
        <w:rPr>
          <w:rFonts w:hint="eastAsia" w:ascii="方正仿宋_GBK" w:hAnsi="方正仿宋_GBK" w:eastAsia="方正仿宋_GBK" w:cs="方正仿宋_GBK"/>
          <w:color w:val="auto"/>
          <w:sz w:val="32"/>
          <w:szCs w:val="32"/>
          <w:lang w:val="en-US" w:eastAsia="zh-CN"/>
        </w:rPr>
        <w:t>88.81%</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w:t>
      </w:r>
      <w:r>
        <w:rPr>
          <w:rFonts w:hint="eastAsia" w:ascii="仿宋_GB2312" w:hAnsi="宋体" w:eastAsia="仿宋_GB2312"/>
          <w:b w:val="0"/>
          <w:bCs/>
          <w:sz w:val="32"/>
          <w:szCs w:val="32"/>
          <w:lang w:val="en-US" w:eastAsia="zh-CN"/>
        </w:rPr>
        <w:t>125.6</w:t>
      </w:r>
      <w:bookmarkStart w:id="1" w:name="_GoBack"/>
      <w:bookmarkEnd w:id="1"/>
      <w:r>
        <w:rPr>
          <w:rFonts w:hint="eastAsia" w:ascii="仿宋_GB2312" w:hAnsi="宋体" w:eastAsia="仿宋_GB2312"/>
          <w:b w:val="0"/>
          <w:bCs/>
          <w:sz w:val="32"/>
          <w:szCs w:val="32"/>
        </w:rPr>
        <w:t>万元，实际支出资金111.55万元，预算执行率为83.19%，涉及项目个数</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节目演出及设备采购、维修经费项目：全年预算数为88.2万元，预算执行数为87.16万元，预算执行率为98.82%。偏差原因：办公场所维修工程已验收，待一年后付质保金。改进措施：认真做好今后预算安排。</w:t>
      </w:r>
      <w:r>
        <w:rPr>
          <w:rFonts w:hint="eastAsia" w:ascii="仿宋_GB2312" w:hAnsi="宋体" w:eastAsia="仿宋_GB2312"/>
          <w:b w:val="0"/>
          <w:bCs/>
          <w:sz w:val="32"/>
          <w:szCs w:val="32"/>
        </w:rPr>
        <w:cr/>
      </w:r>
      <w:r>
        <w:rPr>
          <w:rFonts w:hint="eastAsia" w:ascii="仿宋_GB2312" w:hAnsi="宋体" w:eastAsia="仿宋_GB2312"/>
          <w:b w:val="0"/>
          <w:bCs/>
          <w:sz w:val="32"/>
          <w:szCs w:val="32"/>
        </w:rPr>
        <w:t>　　就业补助资金项目：全年预算数为1.51万元，预算执行数为1.30万元，预算执行率为86.09%。偏差原因：由于到第三季度我单位1名见习生离职，故未发放完毕第三季度补助。改进措施：将结余资金上缴财政。</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中央补助地方公共文化服务体系项目：全年预算数为35.09万元，预算执行数为23.09万元，预算执行率为64.32%。偏差原因：因疫情原因，无法开展文艺活动，导致下乡次数减少。改进措施：及时开展文艺下乡活动。</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2021年本级年初预算、年中未安排项目。</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w:t>
      </w:r>
      <w:r>
        <w:rPr>
          <w:rFonts w:hint="eastAsia" w:ascii="方正仿宋_GBK" w:hAnsi="方正仿宋_GBK" w:eastAsia="方正仿宋_GBK" w:cs="方正仿宋_GBK"/>
          <w:color w:val="auto"/>
          <w:sz w:val="32"/>
          <w:szCs w:val="32"/>
          <w:lang w:val="en-US" w:eastAsia="zh-CN"/>
        </w:rPr>
        <w:t>88.81%</w:t>
      </w:r>
      <w:r>
        <w:rPr>
          <w:rFonts w:hint="eastAsia" w:ascii="仿宋_GB2312" w:hAnsi="宋体" w:eastAsia="仿宋_GB2312"/>
          <w:b w:val="0"/>
          <w:bCs/>
          <w:sz w:val="32"/>
          <w:szCs w:val="32"/>
        </w:rPr>
        <w:t>。加强专项资金的管理和核算，专项资金严格按照项目实施方案执行。接受各项财务检查中未发现重大管理漏洞和问题，并通过检查推进财务规范化管理。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《2021年中央补助地方公共文化服务体系建设补助资金》（奖补资金）预算的通知、克财教【2021】8号、新财教【2020】206号、克财教【2020】15号、克财社【2020】110号、新财教【2021】157号、克财教【2021】48号。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项专项，总投入共计</w:t>
      </w:r>
      <w:r>
        <w:rPr>
          <w:rFonts w:hint="eastAsia" w:ascii="方正仿宋_GBK" w:hAnsi="方正仿宋_GBK" w:eastAsia="方正仿宋_GBK" w:cs="方正仿宋_GBK"/>
          <w:color w:val="auto"/>
          <w:sz w:val="32"/>
          <w:szCs w:val="32"/>
          <w:lang w:val="en-US" w:eastAsia="zh-CN"/>
        </w:rPr>
        <w:t>125.6</w:t>
      </w:r>
      <w:r>
        <w:rPr>
          <w:rFonts w:hint="eastAsia" w:ascii="仿宋_GB2312" w:hAnsi="宋体" w:eastAsia="仿宋_GB2312"/>
          <w:b w:val="0"/>
          <w:bCs/>
          <w:sz w:val="32"/>
          <w:szCs w:val="32"/>
        </w:rPr>
        <w:t>万元，资金全部到位，实际使用资金111.55万元，专项资金执行率为</w:t>
      </w:r>
      <w:r>
        <w:rPr>
          <w:rFonts w:hint="eastAsia" w:ascii="仿宋_GB2312" w:hAnsi="宋体" w:eastAsia="仿宋_GB2312"/>
          <w:b w:val="0"/>
          <w:bCs/>
          <w:sz w:val="32"/>
          <w:szCs w:val="32"/>
          <w:lang w:val="en-US" w:eastAsia="zh-CN"/>
        </w:rPr>
        <w:t>88.81</w:t>
      </w:r>
      <w:r>
        <w:rPr>
          <w:rFonts w:hint="eastAsia" w:ascii="仿宋_GB2312" w:hAnsi="宋体" w:eastAsia="仿宋_GB2312"/>
          <w:b w:val="0"/>
          <w:bCs/>
          <w:sz w:val="32"/>
          <w:szCs w:val="32"/>
        </w:rPr>
        <w:t>%。专项资金严格按照《财务管理制度》《专项资金使用管理制度》《内部控制管理手册》实行专款专用，在本年度审计和财政监督检查过程中未发生资金违规使用情况。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①制订《克州歌舞团经费使用规范》，为合理合规使用经费提供了有力的制度保障。同时，建立区委组织部项目经费内部管控制度，并严格按要求落实。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个项目成本均未超预算，预算执行率达</w:t>
      </w:r>
      <w:r>
        <w:rPr>
          <w:rFonts w:hint="eastAsia" w:ascii="仿宋_GB2312" w:hAnsi="宋体" w:eastAsia="仿宋_GB2312"/>
          <w:b w:val="0"/>
          <w:bCs/>
          <w:sz w:val="32"/>
          <w:szCs w:val="32"/>
          <w:lang w:val="en-US" w:eastAsia="zh-CN"/>
        </w:rPr>
        <w:t>88.81</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我单位有2个项目，项目实施进度已达到100%。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节目演出及设备采购、维修经费项目：主要用于开展2021年克州春节联欢晚会以及设备采购，维修办公场所，保障歌舞团日常工作需求。通过该项目实施能够有效地开展文艺工作，丰富群众精神文化生活，实现正能量引导，促进文化事业发展。满足人民群众的精神文明需求，以现代文化为引领，挖掘和弘扬优秀传统文化，创作优秀文艺作品，为克孜勒苏文化建设和经济建设作出贡献。不断丰富各族群众的精神文化生活。努力提高文艺作品创作和文化活动的质量，组织创作一批思想性、艺术性相统一，具有较强吸引力、感染力的文艺作品，努力提高文艺活动规模和艺术作品质量。</w:t>
      </w:r>
    </w:p>
    <w:p>
      <w:pPr>
        <w:pStyle w:val="2"/>
        <w:ind w:firstLine="0" w:firstLineChars="0"/>
        <w:rPr>
          <w:rFonts w:hint="default" w:ascii="仿宋_GB2312" w:hAnsi="宋体" w:eastAsia="仿宋_GB2312" w:cs="Times New Roman"/>
          <w:b w:val="0"/>
          <w:bCs/>
          <w:kern w:val="2"/>
          <w:sz w:val="32"/>
          <w:szCs w:val="32"/>
          <w:lang w:val="en-US" w:eastAsia="zh-CN" w:bidi="ar-SA"/>
        </w:rPr>
      </w:pPr>
      <w:r>
        <w:rPr>
          <w:rFonts w:hint="eastAsia" w:ascii="仿宋_GB2312" w:hAnsi="宋体" w:eastAsia="仿宋_GB2312" w:cs="Times New Roman"/>
          <w:b w:val="0"/>
          <w:bCs/>
          <w:kern w:val="2"/>
          <w:sz w:val="32"/>
          <w:szCs w:val="32"/>
          <w:lang w:val="en-US" w:eastAsia="zh-CN" w:bidi="ar-SA"/>
        </w:rPr>
        <w:t>　　中央补助地方公共文化服务体系项目：给基层群众带去丰富多彩，喜闻乐见，深受群众喜欢的文化产品，让文化服务活动在“接地气”中传播正能量，有利于提高文艺作品创作和文化活动的质量，组织创作一批思想性、艺术性相统一，具有较强吸引力、感染力的文艺作品，文艺活动规模和艺术作品质量进一步提高。</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　　就业补助资金项目：主要用于发放见习生补助，通过该项目实施能够有效地解决失业人员、毕业生找工作提供临时岗位，解决我单位培训工作需要。</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本单位2021年初资产合计数为227.90 万元，年末资产合计数为235.34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截止本年度固定资产账面净值83.20 万元，年末实际在用固定资产83.20万元，固定资产利用率为100%。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保障人员工资指标，预期指标是等于62人，实际完成值是62人，指标完成率是100%，达到预期目标。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保障车辆数指标，预期指标是等于2辆，实际完成值是2辆，指标完成率是100%，达到预期目标。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演出场数指标，预期指标是等于60次，实际完成值是60次，指标完成率是100%，达到预期目标。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创作节目数量指标，预期指标是等于5个，实际完成值是5个，指标完成率是100%，达到预期目标。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数量指标共计4个，完成4个，达到预期目标，数量指标成。</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资金使用合格率指标，预期指标是等于100%，实际完成值是100%，指标完成率是100%，达到预期目标。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质量指标共计2个，完成2个，达到预期目标，数量指标完成。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时效指标共计1个，完成1个，达到预期目标，数量指标完成。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人员经费指标，预期指标是等于702.59万元，实际完成值是702.59万元，指标完成率是100%，达到预期目标。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公用经费指标，预期指标是等于14.47万元，实际完成值是14.47万元，指标完成率是100%，达到预期目标。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成本指标共计2个，完成2个，达到成本控制及改善目标。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公共服务质量改善情况指标，预期指标是有效改善，实际完成值是有效改善，指标完成率是100%，达到预期目标。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业务保障能力提升情况指标，预期指标是有效提升，实际完成值是有效提升，指标完成率是100%，达到预期目标。 </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社会效益指标共计2个，完成2个，达到单位履职能力对社会带来的影响预期目标，社会效益指标完成。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丰富群众文化精神情况指标，预期指标是长期，实际完成值是长期，指标完成率是100%，达到预期目标。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演员满意度指标，预期指标是大于等于95%，实际完成值是95%，指标完成率是100%，达到预期目标。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群众满意度指标，预期指标是大于等于95%，实际完成值是95%，指标完成率是100%，达到预期目标。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满意度指标共计2个，完成2个，达到部门（单位）服务对象对部门履职效果的满意度，服务对象满意度指标完成。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0" w:usb1="00000000" w:usb2="00000000" w:usb3="00000000" w:csb0="00000000" w:csb1="00000000"/>
  </w:font>
  <w:font w:name="方正仿宋_GB2312">
    <w:panose1 w:val="02000000000000000000"/>
    <w:charset w:val="86"/>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5B8572"/>
    <w:multiLevelType w:val="singleLevel"/>
    <w:tmpl w:val="955B8572"/>
    <w:lvl w:ilvl="0" w:tentative="0">
      <w:start w:val="1"/>
      <w:numFmt w:val="chineseCounting"/>
      <w:suff w:val="nothing"/>
      <w:lvlText w:val="（%1）"/>
      <w:lvlJc w:val="left"/>
      <w:rPr>
        <w:rFonts w:hint="eastAsia"/>
      </w:r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6D0032F"/>
    <w:rsid w:val="37172B99"/>
    <w:rsid w:val="419562AC"/>
    <w:rsid w:val="51C70EA9"/>
    <w:rsid w:val="54F842B6"/>
    <w:rsid w:val="5B6E00CC"/>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iPriority w:val="0"/>
    <w:pPr>
      <w:keepNext/>
      <w:keepLines/>
      <w:outlineLvl w:val="2"/>
    </w:pPr>
    <w:rPr>
      <w:rFonts w:ascii="方正仿宋_GB2312" w:hAnsi="方正仿宋_GB2312" w:eastAsia="方正仿宋_GB2312"/>
      <w:b/>
      <w:bCs/>
      <w:kern w:val="0"/>
      <w:sz w:val="28"/>
      <w:szCs w:val="32"/>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8">
    <w:name w:val="页眉 字符"/>
    <w:basedOn w:val="5"/>
    <w:link w:val="4"/>
    <w:qFormat/>
    <w:uiPriority w:val="99"/>
    <w:rPr>
      <w:sz w:val="18"/>
      <w:szCs w:val="18"/>
    </w:rPr>
  </w:style>
  <w:style w:type="character" w:customStyle="1" w:styleId="9">
    <w:name w:val="页脚 字符"/>
    <w:basedOn w:val="5"/>
    <w:link w:val="3"/>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1</TotalTime>
  <ScaleCrop>false</ScaleCrop>
  <LinksUpToDate>false</LinksUpToDate>
  <CharactersWithSpaces>308</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adminiatrator</cp:lastModifiedBy>
  <dcterms:modified xsi:type="dcterms:W3CDTF">2022-05-27T04:24:23Z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y fmtid="{D5CDD505-2E9C-101B-9397-08002B2CF9AE}" pid="3" name="ICV">
    <vt:lpwstr>4E2A216151A24EE5A190066F518526B7</vt:lpwstr>
  </property>
</Properties>
</file>